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03" w:rsidRDefault="00646E03" w:rsidP="00433F58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September 2, 2014</w:t>
      </w:r>
    </w:p>
    <w:p w:rsidR="00D913B8" w:rsidRDefault="00442028" w:rsidP="00433F58">
      <w:pPr>
        <w:jc w:val="center"/>
        <w:rPr>
          <w:b/>
          <w:sz w:val="28"/>
        </w:rPr>
      </w:pPr>
      <w:r>
        <w:rPr>
          <w:b/>
          <w:sz w:val="28"/>
        </w:rPr>
        <w:t xml:space="preserve">High-Power </w:t>
      </w:r>
      <w:proofErr w:type="spellStart"/>
      <w:r>
        <w:rPr>
          <w:b/>
          <w:sz w:val="28"/>
        </w:rPr>
        <w:t>Targetry</w:t>
      </w:r>
      <w:proofErr w:type="spellEnd"/>
      <w:r>
        <w:rPr>
          <w:b/>
          <w:sz w:val="28"/>
        </w:rPr>
        <w:t xml:space="preserve"> in</w:t>
      </w:r>
      <w:r w:rsidR="00EC2A5E">
        <w:rPr>
          <w:b/>
          <w:sz w:val="28"/>
        </w:rPr>
        <w:t xml:space="preserve"> S</w:t>
      </w:r>
      <w:bookmarkStart w:id="0" w:name="_GoBack"/>
      <w:bookmarkEnd w:id="0"/>
      <w:r w:rsidR="0048704F" w:rsidRPr="00433F58">
        <w:rPr>
          <w:b/>
          <w:sz w:val="28"/>
        </w:rPr>
        <w:t>upport</w:t>
      </w:r>
      <w:r w:rsidR="004B5BB2">
        <w:rPr>
          <w:b/>
          <w:sz w:val="28"/>
        </w:rPr>
        <w:t xml:space="preserve"> </w:t>
      </w:r>
      <w:r w:rsidR="007349C6">
        <w:rPr>
          <w:b/>
          <w:sz w:val="28"/>
        </w:rPr>
        <w:t xml:space="preserve">of </w:t>
      </w:r>
      <w:r w:rsidR="007349C6" w:rsidRPr="00433F58">
        <w:rPr>
          <w:b/>
          <w:sz w:val="28"/>
        </w:rPr>
        <w:t>the</w:t>
      </w:r>
      <w:r w:rsidR="0048704F" w:rsidRPr="00433F58">
        <w:rPr>
          <w:b/>
          <w:sz w:val="28"/>
        </w:rPr>
        <w:t xml:space="preserve"> Intensity Frontier</w:t>
      </w:r>
    </w:p>
    <w:p w:rsidR="00442028" w:rsidRDefault="00442028" w:rsidP="00433F58">
      <w:pPr>
        <w:jc w:val="center"/>
      </w:pPr>
      <w:r w:rsidRPr="00442028">
        <w:t>H.G. Kirk, N. Simos, Brookhaven National Laboratory</w:t>
      </w:r>
    </w:p>
    <w:p w:rsidR="00442028" w:rsidRPr="00442028" w:rsidRDefault="00442028" w:rsidP="00433F58">
      <w:pPr>
        <w:jc w:val="center"/>
      </w:pPr>
      <w:r>
        <w:t xml:space="preserve">K.T. McDonald, Princeton </w:t>
      </w:r>
      <w:r w:rsidR="00AC1627">
        <w:t>University</w:t>
      </w:r>
    </w:p>
    <w:p w:rsidR="0048704F" w:rsidRPr="00433F58" w:rsidRDefault="0048704F">
      <w:pPr>
        <w:rPr>
          <w:b/>
          <w:sz w:val="24"/>
        </w:rPr>
      </w:pPr>
      <w:r w:rsidRPr="00433F58">
        <w:rPr>
          <w:b/>
          <w:sz w:val="24"/>
        </w:rPr>
        <w:t>Introduction</w:t>
      </w:r>
    </w:p>
    <w:p w:rsidR="0048704F" w:rsidRDefault="0051601E" w:rsidP="001F2835">
      <w:pPr>
        <w:jc w:val="both"/>
      </w:pPr>
      <w:r>
        <w:tab/>
        <w:t>The DOE-HEPAP Particle Physics Project Prioritization Panel (P5)</w:t>
      </w:r>
      <w:r w:rsidR="0048704F">
        <w:t xml:space="preserve"> report has given clear directions to the establishment of a robust Intensity Frontier capability in the U.S. Specifically:</w:t>
      </w:r>
    </w:p>
    <w:p w:rsidR="0048704F" w:rsidRDefault="0048704F" w:rsidP="001F2835">
      <w:pPr>
        <w:jc w:val="both"/>
        <w:rPr>
          <w:i/>
        </w:rPr>
      </w:pPr>
      <w:r w:rsidRPr="0048704F">
        <w:rPr>
          <w:i/>
        </w:rPr>
        <w:t>Redirect specific activities and efforts at Fermilab to the PIP-II program of improvements to the accelerator complex, which will provide proton beams with power greater than one megawatt by the time of first operation of the new long-baseline neutrino facility.</w:t>
      </w:r>
    </w:p>
    <w:p w:rsidR="000F6855" w:rsidRDefault="0048704F" w:rsidP="001F2835">
      <w:pPr>
        <w:jc w:val="both"/>
        <w:rPr>
          <w:i/>
        </w:rPr>
      </w:pPr>
      <w:r w:rsidRPr="0048704F">
        <w:t>The rational for establishing this capability is to respond to two foreseen physics drivers:</w:t>
      </w:r>
      <w:r>
        <w:rPr>
          <w:i/>
        </w:rPr>
        <w:t xml:space="preserve"> i) </w:t>
      </w:r>
      <w:proofErr w:type="gramStart"/>
      <w:r w:rsidR="00B5566F">
        <w:rPr>
          <w:i/>
        </w:rPr>
        <w:t>Pursue</w:t>
      </w:r>
      <w:proofErr w:type="gramEnd"/>
      <w:r w:rsidRPr="0048704F">
        <w:rPr>
          <w:i/>
        </w:rPr>
        <w:t xml:space="preserve"> the physics associated with neutrino mass</w:t>
      </w:r>
      <w:r>
        <w:rPr>
          <w:i/>
        </w:rPr>
        <w:t xml:space="preserve">, </w:t>
      </w:r>
      <w:r w:rsidRPr="0048704F">
        <w:t>and</w:t>
      </w:r>
      <w:r>
        <w:rPr>
          <w:i/>
        </w:rPr>
        <w:t xml:space="preserve"> ii) </w:t>
      </w:r>
      <w:r w:rsidRPr="0048704F">
        <w:rPr>
          <w:i/>
        </w:rPr>
        <w:t>Explore the unknown: new particles, interactions,</w:t>
      </w:r>
      <w:r w:rsidR="000F6855">
        <w:rPr>
          <w:i/>
        </w:rPr>
        <w:t xml:space="preserve"> and physical principles.</w:t>
      </w:r>
    </w:p>
    <w:p w:rsidR="000F6855" w:rsidRDefault="000F6855" w:rsidP="001F2835">
      <w:pPr>
        <w:jc w:val="both"/>
        <w:rPr>
          <w:i/>
        </w:rPr>
      </w:pPr>
      <w:r>
        <w:rPr>
          <w:i/>
        </w:rPr>
        <w:t>This scenario will require supporting R&amp;D for the development of target systems capable of receiving the multi-MW protons beams and generating intense secondary and tertiary beams useful for the desired physics programs.  Key technical issues include: i) an understanding of the influence of radiation on the physical properties of the targets as well as the surrounding support</w:t>
      </w:r>
      <w:r w:rsidR="00D3693A">
        <w:rPr>
          <w:i/>
        </w:rPr>
        <w:t>ing</w:t>
      </w:r>
      <w:r>
        <w:rPr>
          <w:i/>
        </w:rPr>
        <w:t xml:space="preserve"> infrastructure,  </w:t>
      </w:r>
      <w:r w:rsidR="00D3693A">
        <w:rPr>
          <w:i/>
        </w:rPr>
        <w:t xml:space="preserve">ii) </w:t>
      </w:r>
      <w:r>
        <w:rPr>
          <w:i/>
        </w:rPr>
        <w:t xml:space="preserve">management of the steady state heat load in the target, and iii) </w:t>
      </w:r>
      <w:r w:rsidR="00433F58">
        <w:rPr>
          <w:i/>
        </w:rPr>
        <w:t xml:space="preserve">an understanding of the physical limits of the target material to disruption resulting from </w:t>
      </w:r>
      <w:r w:rsidR="00D3693A">
        <w:rPr>
          <w:i/>
        </w:rPr>
        <w:t>thermal shock.</w:t>
      </w:r>
    </w:p>
    <w:p w:rsidR="00433F58" w:rsidRPr="00433F58" w:rsidRDefault="00433F58" w:rsidP="001F2835">
      <w:pPr>
        <w:jc w:val="both"/>
        <w:rPr>
          <w:b/>
          <w:i/>
        </w:rPr>
      </w:pPr>
      <w:r w:rsidRPr="00433F58">
        <w:rPr>
          <w:b/>
          <w:i/>
        </w:rPr>
        <w:t>Required R&amp;D</w:t>
      </w:r>
    </w:p>
    <w:p w:rsidR="00976A23" w:rsidRPr="005C7ABF" w:rsidRDefault="00D36588" w:rsidP="001F2835">
      <w:pPr>
        <w:jc w:val="both"/>
      </w:pPr>
      <w:r w:rsidRPr="002D57A3">
        <w:t>Depending on the desired secondary beam to be produced, low-, mid-, and high-Z target materials need to be considered.  As the beam power transcends 1 MW, solid targets, preferred for their simplicity and ease o</w:t>
      </w:r>
      <w:r w:rsidR="00D3693A">
        <w:t>f handling, become less</w:t>
      </w:r>
      <w:r w:rsidRPr="002D57A3">
        <w:t xml:space="preserve"> viable leading to the need for consideration of liquid targ</w:t>
      </w:r>
      <w:r w:rsidR="00D3693A">
        <w:t xml:space="preserve">ets as the material of choice. </w:t>
      </w:r>
      <w:r w:rsidR="00E21FBB">
        <w:t xml:space="preserve">Due </w:t>
      </w:r>
      <w:r w:rsidR="00B5566F">
        <w:t xml:space="preserve">to </w:t>
      </w:r>
      <w:r w:rsidR="00B5566F" w:rsidRPr="002D57A3">
        <w:t>the</w:t>
      </w:r>
      <w:r w:rsidR="002D57A3" w:rsidRPr="002D57A3">
        <w:t xml:space="preserve"> additional complexity of implementing liquid target systems, it is desirable to have an understanding of the limitations of solid targets as the proton drive beams</w:t>
      </w:r>
      <w:r w:rsidR="00E21FBB">
        <w:t xml:space="preserve"> increase in</w:t>
      </w:r>
      <w:r w:rsidR="002D57A3" w:rsidRPr="002D57A3">
        <w:t xml:space="preserve"> power and have different bunch structure requirements.</w:t>
      </w:r>
      <w:r w:rsidR="00E21FBB">
        <w:t xml:space="preserve"> </w:t>
      </w:r>
      <w:r w:rsidR="002D57A3">
        <w:t xml:space="preserve"> R&amp;D will be necessary to determine the limitations of various target materials as well as </w:t>
      </w:r>
      <w:r w:rsidR="00E21FBB">
        <w:t xml:space="preserve">providing </w:t>
      </w:r>
      <w:r w:rsidR="002D57A3">
        <w:t xml:space="preserve">an understanding </w:t>
      </w:r>
      <w:r w:rsidR="00E21FBB">
        <w:t xml:space="preserve">of </w:t>
      </w:r>
      <w:r w:rsidR="002D57A3">
        <w:t>the impact of severe radiation on the physical properties of potential target materials</w:t>
      </w:r>
      <w:r w:rsidR="000571AF">
        <w:t xml:space="preserve"> and in particular on the lowering of material fracture toughness</w:t>
      </w:r>
      <w:r w:rsidR="002D57A3">
        <w:t xml:space="preserve">.  The resistance to thermal shock </w:t>
      </w:r>
      <w:r w:rsidR="0035768B">
        <w:t>in the target is sensitive to various physical parameters such as heat capacity, tensile strength, coefficient of thermal expansion, and Young’s modulus.  Knowledge of the</w:t>
      </w:r>
      <w:r w:rsidR="00E21FBB">
        <w:t xml:space="preserve">se parameters for materials which have been </w:t>
      </w:r>
      <w:r w:rsidR="00B5566F">
        <w:t>exposed to</w:t>
      </w:r>
      <w:r w:rsidR="004F4833">
        <w:t xml:space="preserve"> various de</w:t>
      </w:r>
      <w:r w:rsidR="0035768B">
        <w:t>gress of irradiation is essential and a program to measure these parameters</w:t>
      </w:r>
      <w:r w:rsidR="00E21FBB">
        <w:t xml:space="preserve"> for irradiated and non-</w:t>
      </w:r>
      <w:r w:rsidR="00B5566F">
        <w:t>irradiated target</w:t>
      </w:r>
      <w:r w:rsidR="0035768B">
        <w:t xml:space="preserve"> material should be employed.   Beam tests with high-power, focused beams will be required to validate models for target disruption.</w:t>
      </w:r>
    </w:p>
    <w:p w:rsidR="00750BB8" w:rsidRDefault="00750BB8" w:rsidP="001F2835">
      <w:pPr>
        <w:jc w:val="both"/>
        <w:rPr>
          <w:b/>
          <w:sz w:val="24"/>
        </w:rPr>
      </w:pPr>
    </w:p>
    <w:p w:rsidR="00750BB8" w:rsidRDefault="00750BB8" w:rsidP="0048704F">
      <w:pPr>
        <w:rPr>
          <w:b/>
          <w:sz w:val="24"/>
        </w:rPr>
      </w:pPr>
    </w:p>
    <w:p w:rsidR="00782973" w:rsidRDefault="00750BB8" w:rsidP="0048704F">
      <w:pPr>
        <w:rPr>
          <w:b/>
          <w:sz w:val="24"/>
        </w:rPr>
      </w:pPr>
      <w:r>
        <w:rPr>
          <w:b/>
          <w:sz w:val="24"/>
        </w:rPr>
        <w:t xml:space="preserve">Proposed R&amp;D </w:t>
      </w:r>
    </w:p>
    <w:p w:rsidR="00750BB8" w:rsidRDefault="00750BB8" w:rsidP="001F2835">
      <w:pPr>
        <w:jc w:val="both"/>
      </w:pPr>
      <w:r>
        <w:t>We wish to determine the limits for inducing fractu</w:t>
      </w:r>
      <w:r w:rsidR="004D63A3">
        <w:t>ring</w:t>
      </w:r>
      <w:r w:rsidR="00C71A1E">
        <w:t xml:space="preserve"> of </w:t>
      </w:r>
      <w:r w:rsidR="004D63A3">
        <w:t xml:space="preserve">carbon-based targets including various polymorphs of </w:t>
      </w:r>
      <w:r w:rsidR="00C71A1E">
        <w:t>graphite</w:t>
      </w:r>
      <w:r w:rsidR="004D63A3">
        <w:t xml:space="preserve"> as well as</w:t>
      </w:r>
      <w:r>
        <w:t xml:space="preserve"> carbon-carbon composites.  Our strategy entails </w:t>
      </w:r>
      <w:r w:rsidR="004D63A3">
        <w:t xml:space="preserve">irradiation damage of </w:t>
      </w:r>
      <w:r>
        <w:t>carbon</w:t>
      </w:r>
      <w:r w:rsidR="00C71A1E">
        <w:t xml:space="preserve"> fiber</w:t>
      </w:r>
      <w:r w:rsidR="00B8583E">
        <w:t xml:space="preserve"> </w:t>
      </w:r>
      <w:r w:rsidR="00C71A1E">
        <w:t>and graphite</w:t>
      </w:r>
      <w:r>
        <w:t xml:space="preserve"> specimens to varying degrees of proton</w:t>
      </w:r>
      <w:r w:rsidR="00B8583E">
        <w:t xml:space="preserve"> radiation at</w:t>
      </w:r>
      <w:r>
        <w:t xml:space="preserve"> the Brookhaven Linac Isotope Production (BLIP) facility at Brookhaven Laboratory</w:t>
      </w:r>
      <w:r w:rsidR="004D63A3">
        <w:t xml:space="preserve"> augmented with a comprehensive p</w:t>
      </w:r>
      <w:r>
        <w:t>ost-i</w:t>
      </w:r>
      <w:r w:rsidR="004D63A3">
        <w:t>rradiation analysis utilizing</w:t>
      </w:r>
      <w:r>
        <w:t xml:space="preserve"> available</w:t>
      </w:r>
      <w:r w:rsidR="004D63A3">
        <w:t xml:space="preserve"> test apparatus in</w:t>
      </w:r>
      <w:r w:rsidR="000571AF">
        <w:t xml:space="preserve"> the hot-cell facilities</w:t>
      </w:r>
      <w:r>
        <w:t xml:space="preserve"> at BNL.  We will determine the relevant thermal and stress/strain parameters of various samples in order to predict the limits for the fracturing of samples due to ther</w:t>
      </w:r>
      <w:r w:rsidR="000571AF">
        <w:t xml:space="preserve">mally </w:t>
      </w:r>
      <w:r>
        <w:t xml:space="preserve">induced stresses. </w:t>
      </w:r>
      <w:r w:rsidR="000571AF">
        <w:t xml:space="preserve">Microscopic, post-irradiation analysis will utilize </w:t>
      </w:r>
      <w:r>
        <w:t>x-ray beam</w:t>
      </w:r>
      <w:r w:rsidR="000571AF">
        <w:t>s and diffraction techniques</w:t>
      </w:r>
      <w:r>
        <w:t xml:space="preserve"> at the NSLS II to correlate the disruption of crystalline structures within the </w:t>
      </w:r>
      <w:r w:rsidR="000571AF">
        <w:t xml:space="preserve">bulk of the test </w:t>
      </w:r>
      <w:r>
        <w:t>samples to the amount of radiation each sample has received.</w:t>
      </w:r>
    </w:p>
    <w:p w:rsidR="00750BB8" w:rsidRDefault="00750BB8" w:rsidP="001F2835">
      <w:pPr>
        <w:jc w:val="both"/>
      </w:pPr>
      <w:r>
        <w:t>We will utilize several methods to apply varying degrees of energy deposition in the carbon specimen</w:t>
      </w:r>
      <w:r w:rsidR="000571AF">
        <w:t>s.  Taking advantage of the BNL Accelerator Test Facility (</w:t>
      </w:r>
      <w:r>
        <w:t>ATF</w:t>
      </w:r>
      <w:r w:rsidR="000571AF">
        <w:t>)</w:t>
      </w:r>
      <w:r>
        <w:t>, we will expose the samples to intense, focused laser beams as well as tightly focused electron beams</w:t>
      </w:r>
      <w:r w:rsidR="000571AF">
        <w:t xml:space="preserve"> in an effort to in</w:t>
      </w:r>
      <w:r w:rsidR="00181823">
        <w:t>duce extreme localized</w:t>
      </w:r>
      <w:r w:rsidR="000571AF">
        <w:t xml:space="preserve"> transient stress</w:t>
      </w:r>
      <w:r w:rsidR="00181823">
        <w:t>es</w:t>
      </w:r>
      <w:r w:rsidR="00B7756B">
        <w:t xml:space="preserve"> at</w:t>
      </w:r>
      <w:r w:rsidR="000571AF">
        <w:t xml:space="preserve"> levels that mimic high intensity</w:t>
      </w:r>
      <w:r w:rsidR="00B7756B">
        <w:t xml:space="preserve"> frontier accelerator</w:t>
      </w:r>
      <w:r w:rsidR="000571AF">
        <w:t xml:space="preserve"> target conditions.</w:t>
      </w:r>
      <w:r>
        <w:t xml:space="preserve">   The HiRadMat facility at CERN is our choice for a set of measurements utilizing an in</w:t>
      </w:r>
      <w:r w:rsidR="00B5566F">
        <w:t>t</w:t>
      </w:r>
      <w:r w:rsidR="00B7756B">
        <w:t>ense, focused</w:t>
      </w:r>
      <w:r w:rsidR="000571AF">
        <w:t xml:space="preserve"> beam</w:t>
      </w:r>
      <w:r w:rsidR="00B7756B">
        <w:t>s</w:t>
      </w:r>
      <w:r w:rsidR="000571AF">
        <w:t xml:space="preserve"> consisting</w:t>
      </w:r>
      <w:r>
        <w:t xml:space="preserve"> of 440 </w:t>
      </w:r>
      <w:proofErr w:type="spellStart"/>
      <w:r>
        <w:t>GeV</w:t>
      </w:r>
      <w:proofErr w:type="spellEnd"/>
      <w:r>
        <w:t xml:space="preserve"> protons from the CERN SP</w:t>
      </w:r>
      <w:r w:rsidR="00B7756B">
        <w:t>S which feature</w:t>
      </w:r>
      <w:r w:rsidR="000571AF">
        <w:t xml:space="preserve"> up to</w:t>
      </w:r>
      <w:r w:rsidR="00B5566F">
        <w:t xml:space="preserve"> 4.9 x 10</w:t>
      </w:r>
      <w:r w:rsidRPr="00B5566F">
        <w:rPr>
          <w:vertAlign w:val="superscript"/>
        </w:rPr>
        <w:t>13</w:t>
      </w:r>
      <w:r>
        <w:t xml:space="preserve"> protons per spil</w:t>
      </w:r>
      <w:r w:rsidR="00F60F3B">
        <w:t>l along with a focused spot</w:t>
      </w:r>
      <w:r w:rsidR="00B7756B">
        <w:t xml:space="preserve"> sizes with </w:t>
      </w:r>
      <w:proofErr w:type="spellStart"/>
      <w:r w:rsidR="00B7756B">
        <w:t>rms</w:t>
      </w:r>
      <w:proofErr w:type="spellEnd"/>
      <w:r w:rsidR="00B7756B">
        <w:t xml:space="preserve"> radii</w:t>
      </w:r>
      <w:r w:rsidR="00F60F3B">
        <w:t xml:space="preserve"> as small as 0.1mm</w:t>
      </w:r>
      <w:r>
        <w:t>.</w:t>
      </w:r>
    </w:p>
    <w:p w:rsidR="007C0211" w:rsidRPr="0033658C" w:rsidRDefault="00EB464E" w:rsidP="0048704F">
      <w:pPr>
        <w:rPr>
          <w:b/>
          <w:sz w:val="24"/>
        </w:rPr>
      </w:pPr>
      <w:r w:rsidRPr="00EB464E">
        <w:rPr>
          <w:b/>
          <w:sz w:val="24"/>
        </w:rPr>
        <w:t>Budget for the proposed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260"/>
        <w:gridCol w:w="1080"/>
      </w:tblGrid>
      <w:tr w:rsidR="00F17418" w:rsidTr="00F17418">
        <w:tc>
          <w:tcPr>
            <w:tcW w:w="1368" w:type="dxa"/>
          </w:tcPr>
          <w:p w:rsidR="00F17418" w:rsidRDefault="00F17418" w:rsidP="0048704F">
            <w:r>
              <w:t>Year 1</w:t>
            </w:r>
          </w:p>
        </w:tc>
        <w:tc>
          <w:tcPr>
            <w:tcW w:w="1530" w:type="dxa"/>
          </w:tcPr>
          <w:p w:rsidR="00F17418" w:rsidRDefault="00F17418" w:rsidP="0048704F"/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  <w:r>
              <w:t>FTEs</w:t>
            </w: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  <w:r>
              <w:t>$K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>
            <w:r>
              <w:t xml:space="preserve">Effort </w:t>
            </w:r>
          </w:p>
        </w:tc>
        <w:tc>
          <w:tcPr>
            <w:tcW w:w="1260" w:type="dxa"/>
            <w:vAlign w:val="bottom"/>
          </w:tcPr>
          <w:p w:rsidR="00F17418" w:rsidRDefault="008D6886" w:rsidP="00F17418">
            <w:pPr>
              <w:jc w:val="center"/>
            </w:pPr>
            <w:r>
              <w:t>1.2</w:t>
            </w: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8D6886" w:rsidP="0048704F">
            <w:r>
              <w:t>M&amp;S</w:t>
            </w:r>
            <w:r w:rsidR="00F17418">
              <w:t xml:space="preserve"> </w:t>
            </w:r>
          </w:p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8D6886" w:rsidP="00F17418">
            <w:pPr>
              <w:jc w:val="center"/>
            </w:pPr>
            <w:r>
              <w:t>16</w:t>
            </w:r>
            <w:r w:rsidR="00F17418">
              <w:t>0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>
            <w:r>
              <w:t xml:space="preserve">Travel </w:t>
            </w:r>
          </w:p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8D6886" w:rsidP="00F17418">
            <w:pPr>
              <w:jc w:val="center"/>
            </w:pPr>
            <w:r>
              <w:t>2</w:t>
            </w:r>
            <w:r w:rsidR="000640E5">
              <w:t>0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>
            <w:r>
              <w:t>Year 2</w:t>
            </w:r>
          </w:p>
        </w:tc>
        <w:tc>
          <w:tcPr>
            <w:tcW w:w="1530" w:type="dxa"/>
          </w:tcPr>
          <w:p w:rsidR="00F17418" w:rsidRDefault="00F17418" w:rsidP="0048704F"/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>
            <w:r>
              <w:t xml:space="preserve">Effort </w:t>
            </w:r>
          </w:p>
        </w:tc>
        <w:tc>
          <w:tcPr>
            <w:tcW w:w="1260" w:type="dxa"/>
            <w:vAlign w:val="bottom"/>
          </w:tcPr>
          <w:p w:rsidR="00F17418" w:rsidRDefault="008D6886" w:rsidP="00F17418">
            <w:pPr>
              <w:jc w:val="center"/>
            </w:pPr>
            <w:r>
              <w:t>1.4</w:t>
            </w: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8D6886" w:rsidP="0048704F">
            <w:r>
              <w:t>M&amp;S</w:t>
            </w:r>
          </w:p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8D6886" w:rsidP="00F17418">
            <w:pPr>
              <w:jc w:val="center"/>
            </w:pPr>
            <w:r>
              <w:t>140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>
            <w:r>
              <w:t xml:space="preserve">Travel </w:t>
            </w:r>
          </w:p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8D6886" w:rsidP="00F17418">
            <w:pPr>
              <w:jc w:val="center"/>
            </w:pPr>
            <w:r>
              <w:t>4</w:t>
            </w:r>
            <w:r w:rsidR="00F17418">
              <w:t>0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>
            <w:r>
              <w:t>Year 3</w:t>
            </w:r>
          </w:p>
        </w:tc>
        <w:tc>
          <w:tcPr>
            <w:tcW w:w="1530" w:type="dxa"/>
          </w:tcPr>
          <w:p w:rsidR="00F17418" w:rsidRDefault="00F17418" w:rsidP="0048704F"/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>
            <w:r>
              <w:t>Effort</w:t>
            </w:r>
          </w:p>
        </w:tc>
        <w:tc>
          <w:tcPr>
            <w:tcW w:w="1260" w:type="dxa"/>
            <w:vAlign w:val="bottom"/>
          </w:tcPr>
          <w:p w:rsidR="00F17418" w:rsidRDefault="008D6886" w:rsidP="00F17418">
            <w:pPr>
              <w:jc w:val="center"/>
            </w:pPr>
            <w:r>
              <w:t>0.8</w:t>
            </w: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8D6886" w:rsidP="0048704F">
            <w:r>
              <w:t>M&amp;S</w:t>
            </w:r>
          </w:p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8D6886" w:rsidP="00F17418">
            <w:pPr>
              <w:jc w:val="center"/>
            </w:pPr>
            <w:r>
              <w:t>4</w:t>
            </w:r>
            <w:r w:rsidR="00F17418">
              <w:t>0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>
            <w:r>
              <w:t xml:space="preserve">Travel </w:t>
            </w:r>
          </w:p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8D6886" w:rsidP="00F17418">
            <w:pPr>
              <w:jc w:val="center"/>
            </w:pPr>
            <w:r>
              <w:t>20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/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</w:p>
        </w:tc>
      </w:tr>
      <w:tr w:rsidR="00F17418" w:rsidTr="00F17418">
        <w:tc>
          <w:tcPr>
            <w:tcW w:w="1368" w:type="dxa"/>
          </w:tcPr>
          <w:p w:rsidR="00F17418" w:rsidRDefault="00F17418" w:rsidP="0048704F">
            <w:r>
              <w:t>Total</w:t>
            </w:r>
          </w:p>
        </w:tc>
        <w:tc>
          <w:tcPr>
            <w:tcW w:w="1530" w:type="dxa"/>
          </w:tcPr>
          <w:p w:rsidR="00F17418" w:rsidRDefault="00F17418" w:rsidP="0048704F"/>
        </w:tc>
        <w:tc>
          <w:tcPr>
            <w:tcW w:w="1260" w:type="dxa"/>
            <w:vAlign w:val="bottom"/>
          </w:tcPr>
          <w:p w:rsidR="00F17418" w:rsidRDefault="008D6886" w:rsidP="00F17418">
            <w:pPr>
              <w:jc w:val="center"/>
            </w:pPr>
            <w:r>
              <w:t>3.4</w:t>
            </w:r>
          </w:p>
        </w:tc>
        <w:tc>
          <w:tcPr>
            <w:tcW w:w="1080" w:type="dxa"/>
            <w:vAlign w:val="bottom"/>
          </w:tcPr>
          <w:p w:rsidR="00F17418" w:rsidRDefault="008D6886" w:rsidP="00F17418">
            <w:pPr>
              <w:jc w:val="center"/>
            </w:pPr>
            <w:r>
              <w:t>420</w:t>
            </w:r>
          </w:p>
        </w:tc>
      </w:tr>
      <w:tr w:rsidR="00F17418" w:rsidTr="00F17418">
        <w:tc>
          <w:tcPr>
            <w:tcW w:w="1368" w:type="dxa"/>
          </w:tcPr>
          <w:p w:rsidR="00F17418" w:rsidRDefault="00F17418" w:rsidP="0048704F"/>
        </w:tc>
        <w:tc>
          <w:tcPr>
            <w:tcW w:w="1530" w:type="dxa"/>
          </w:tcPr>
          <w:p w:rsidR="00F17418" w:rsidRDefault="00F17418" w:rsidP="0048704F"/>
        </w:tc>
        <w:tc>
          <w:tcPr>
            <w:tcW w:w="1260" w:type="dxa"/>
            <w:vAlign w:val="bottom"/>
          </w:tcPr>
          <w:p w:rsidR="00F17418" w:rsidRDefault="00F17418" w:rsidP="00F17418">
            <w:pPr>
              <w:jc w:val="center"/>
            </w:pPr>
          </w:p>
        </w:tc>
        <w:tc>
          <w:tcPr>
            <w:tcW w:w="1080" w:type="dxa"/>
            <w:vAlign w:val="bottom"/>
          </w:tcPr>
          <w:p w:rsidR="00F17418" w:rsidRDefault="00F17418" w:rsidP="00F17418">
            <w:pPr>
              <w:jc w:val="center"/>
            </w:pPr>
          </w:p>
        </w:tc>
      </w:tr>
    </w:tbl>
    <w:p w:rsidR="0033658C" w:rsidRDefault="0033658C" w:rsidP="0048704F"/>
    <w:p w:rsidR="0033658C" w:rsidRPr="002D57A3" w:rsidRDefault="0035768B" w:rsidP="001F2835">
      <w:pPr>
        <w:jc w:val="both"/>
      </w:pPr>
      <w:r>
        <w:t xml:space="preserve">We firmly believe that the </w:t>
      </w:r>
      <w:r w:rsidR="004E5948">
        <w:t>Accelerator</w:t>
      </w:r>
      <w:r>
        <w:t xml:space="preserve"> R&amp;D sub-</w:t>
      </w:r>
      <w:r w:rsidR="000C11E5">
        <w:t>panel should</w:t>
      </w:r>
      <w:r w:rsidR="004E5948">
        <w:t xml:space="preserve"> strongly indorse initiatives to study these </w:t>
      </w:r>
      <w:proofErr w:type="spellStart"/>
      <w:r w:rsidR="004E5948">
        <w:t>targetry</w:t>
      </w:r>
      <w:proofErr w:type="spellEnd"/>
      <w:r w:rsidR="004E5948">
        <w:t xml:space="preserve"> issues within the </w:t>
      </w:r>
      <w:r w:rsidR="00E21FBB">
        <w:t xml:space="preserve">context of the </w:t>
      </w:r>
      <w:r w:rsidR="004E5948">
        <w:t xml:space="preserve">General Accelerator R&amp;D </w:t>
      </w:r>
      <w:r w:rsidR="00E21FBB">
        <w:t xml:space="preserve">(GARD) </w:t>
      </w:r>
      <w:r w:rsidR="004E5948">
        <w:t>program.</w:t>
      </w:r>
    </w:p>
    <w:sectPr w:rsidR="0033658C" w:rsidRPr="002D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DA"/>
    <w:rsid w:val="000571AF"/>
    <w:rsid w:val="000640E5"/>
    <w:rsid w:val="000C11E5"/>
    <w:rsid w:val="000F6855"/>
    <w:rsid w:val="00181823"/>
    <w:rsid w:val="001F2835"/>
    <w:rsid w:val="002D57A3"/>
    <w:rsid w:val="0033658C"/>
    <w:rsid w:val="0035768B"/>
    <w:rsid w:val="00383114"/>
    <w:rsid w:val="00433F58"/>
    <w:rsid w:val="00442028"/>
    <w:rsid w:val="0048704F"/>
    <w:rsid w:val="004B5BB2"/>
    <w:rsid w:val="004D63A3"/>
    <w:rsid w:val="004E5948"/>
    <w:rsid w:val="004F4833"/>
    <w:rsid w:val="0051601E"/>
    <w:rsid w:val="005B0044"/>
    <w:rsid w:val="005C7ABF"/>
    <w:rsid w:val="00646E03"/>
    <w:rsid w:val="007349C6"/>
    <w:rsid w:val="00750BB8"/>
    <w:rsid w:val="00782973"/>
    <w:rsid w:val="007936DA"/>
    <w:rsid w:val="007C0211"/>
    <w:rsid w:val="00857ABA"/>
    <w:rsid w:val="008D6886"/>
    <w:rsid w:val="00906537"/>
    <w:rsid w:val="00976A23"/>
    <w:rsid w:val="00A158B4"/>
    <w:rsid w:val="00AC1627"/>
    <w:rsid w:val="00B31D00"/>
    <w:rsid w:val="00B5566F"/>
    <w:rsid w:val="00B7756B"/>
    <w:rsid w:val="00B8583E"/>
    <w:rsid w:val="00B87FE3"/>
    <w:rsid w:val="00C71A1E"/>
    <w:rsid w:val="00D14ABE"/>
    <w:rsid w:val="00D36588"/>
    <w:rsid w:val="00D3693A"/>
    <w:rsid w:val="00D913B8"/>
    <w:rsid w:val="00E21FBB"/>
    <w:rsid w:val="00EB464E"/>
    <w:rsid w:val="00EC2A5E"/>
    <w:rsid w:val="00F17418"/>
    <w:rsid w:val="00F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CB471-E2EB-43B3-98C6-EB845AAD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Kirk</dc:creator>
  <cp:lastModifiedBy>Kirk</cp:lastModifiedBy>
  <cp:revision>4</cp:revision>
  <dcterms:created xsi:type="dcterms:W3CDTF">2014-09-02T12:14:00Z</dcterms:created>
  <dcterms:modified xsi:type="dcterms:W3CDTF">2014-09-03T16:11:00Z</dcterms:modified>
</cp:coreProperties>
</file>